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71E7C61F" w:rsidR="00385905" w:rsidRDefault="00D52656" w:rsidP="00385905">
      <w:pPr>
        <w:jc w:val="center"/>
        <w:rPr>
          <w:rFonts w:ascii="Arial" w:hAnsi="Arial" w:cs="Arial"/>
          <w:b/>
          <w:bCs/>
          <w:sz w:val="32"/>
          <w:szCs w:val="32"/>
        </w:rPr>
      </w:pPr>
      <w:r>
        <w:rPr>
          <w:rFonts w:ascii="Arial" w:hAnsi="Arial" w:cs="Arial"/>
          <w:b/>
          <w:bCs/>
          <w:sz w:val="32"/>
          <w:szCs w:val="32"/>
        </w:rPr>
        <w:t>The Edlington Practice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5867EFC7" w:rsidR="006D3631" w:rsidRPr="00385905" w:rsidRDefault="006D3631" w:rsidP="00D52656">
      <w:pPr>
        <w:rPr>
          <w:rFonts w:ascii="Arial" w:hAnsi="Arial" w:cs="Arial"/>
          <w:b/>
          <w:bCs/>
          <w:sz w:val="32"/>
          <w:szCs w:val="32"/>
        </w:rPr>
      </w:pP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83B350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EA2CE2">
        <w:rPr>
          <w:rFonts w:ascii="Arial" w:hAnsi="Arial" w:cs="Arial"/>
          <w:b/>
          <w:bCs/>
          <w:sz w:val="20"/>
          <w:szCs w:val="20"/>
        </w:rPr>
        <w:t>3</w:t>
      </w:r>
      <w:r w:rsidR="00D52656">
        <w:rPr>
          <w:rFonts w:ascii="Arial" w:hAnsi="Arial" w:cs="Arial"/>
          <w:b/>
          <w:bCs/>
          <w:sz w:val="20"/>
          <w:szCs w:val="20"/>
        </w:rPr>
        <w:t>.a</w:t>
      </w:r>
    </w:p>
    <w:p w14:paraId="42CAF92D" w14:textId="79EAE919"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EA2CE2">
        <w:rPr>
          <w:rFonts w:ascii="Arial" w:hAnsi="Arial" w:cs="Arial"/>
          <w:b/>
          <w:bCs/>
          <w:sz w:val="20"/>
          <w:szCs w:val="20"/>
        </w:rPr>
        <w:t>08/0</w:t>
      </w:r>
      <w:r w:rsidR="00D52656">
        <w:rPr>
          <w:rFonts w:ascii="Arial" w:hAnsi="Arial" w:cs="Arial"/>
          <w:b/>
          <w:bCs/>
          <w:sz w:val="20"/>
          <w:szCs w:val="20"/>
        </w:rPr>
        <w:t>4</w:t>
      </w:r>
      <w:r w:rsidR="001A7F1F">
        <w:rPr>
          <w:rFonts w:ascii="Arial" w:hAnsi="Arial" w:cs="Arial"/>
          <w:b/>
          <w:bCs/>
          <w:sz w:val="20"/>
          <w:szCs w:val="20"/>
        </w:rPr>
        <w:t>/202</w:t>
      </w:r>
      <w:r w:rsidR="00EA2CE2">
        <w:rPr>
          <w:rFonts w:ascii="Arial" w:hAnsi="Arial" w:cs="Arial"/>
          <w:b/>
          <w:bCs/>
          <w:sz w:val="20"/>
          <w:szCs w:val="20"/>
        </w:rPr>
        <w:t>4</w:t>
      </w:r>
    </w:p>
    <w:p w14:paraId="445BF635" w14:textId="2B336C92" w:rsidR="00D52656" w:rsidRDefault="00D52656">
      <w:pPr>
        <w:rPr>
          <w:rFonts w:ascii="Arial" w:hAnsi="Arial" w:cs="Arial"/>
          <w:b/>
          <w:bCs/>
          <w:sz w:val="20"/>
          <w:szCs w:val="20"/>
        </w:rPr>
      </w:pPr>
      <w:r>
        <w:rPr>
          <w:rFonts w:ascii="Arial" w:hAnsi="Arial" w:cs="Arial"/>
          <w:b/>
          <w:bCs/>
          <w:sz w:val="20"/>
          <w:szCs w:val="20"/>
        </w:rPr>
        <w:t>Author:</w:t>
      </w:r>
      <w:r>
        <w:rPr>
          <w:rFonts w:ascii="Arial" w:hAnsi="Arial" w:cs="Arial"/>
          <w:b/>
          <w:bCs/>
          <w:sz w:val="20"/>
          <w:szCs w:val="20"/>
        </w:rPr>
        <w:tab/>
        <w:t>PCIG Consulting</w:t>
      </w:r>
    </w:p>
    <w:p w14:paraId="5A9BF27B" w14:textId="42E87215" w:rsidR="00880E41" w:rsidRDefault="00880E41">
      <w:pPr>
        <w:rPr>
          <w:rFonts w:ascii="Arial" w:hAnsi="Arial" w:cs="Arial"/>
          <w:b/>
          <w:bCs/>
          <w:sz w:val="20"/>
          <w:szCs w:val="20"/>
        </w:rPr>
      </w:pPr>
      <w:r>
        <w:rPr>
          <w:rFonts w:ascii="Arial" w:hAnsi="Arial" w:cs="Arial"/>
          <w:b/>
          <w:bCs/>
          <w:sz w:val="20"/>
          <w:szCs w:val="20"/>
        </w:rPr>
        <w:t>Reviewed:</w:t>
      </w:r>
      <w:r>
        <w:rPr>
          <w:rFonts w:ascii="Arial" w:hAnsi="Arial" w:cs="Arial"/>
          <w:b/>
          <w:bCs/>
          <w:sz w:val="20"/>
          <w:szCs w:val="20"/>
        </w:rPr>
        <w:tab/>
        <w:t>21/04/2025</w:t>
      </w:r>
    </w:p>
    <w:p w14:paraId="131F7773" w14:textId="01DB9920" w:rsidR="00D52656" w:rsidRDefault="00D52656">
      <w:pPr>
        <w:rPr>
          <w:rFonts w:ascii="Arial" w:hAnsi="Arial" w:cs="Arial"/>
          <w:b/>
          <w:bCs/>
          <w:sz w:val="20"/>
          <w:szCs w:val="20"/>
        </w:rPr>
      </w:pPr>
      <w:r>
        <w:rPr>
          <w:rFonts w:ascii="Arial" w:hAnsi="Arial" w:cs="Arial"/>
          <w:b/>
          <w:bCs/>
          <w:sz w:val="20"/>
          <w:szCs w:val="20"/>
        </w:rPr>
        <w:t>Review due:</w:t>
      </w:r>
      <w:r>
        <w:rPr>
          <w:rFonts w:ascii="Arial" w:hAnsi="Arial" w:cs="Arial"/>
          <w:b/>
          <w:bCs/>
          <w:sz w:val="20"/>
          <w:szCs w:val="20"/>
        </w:rPr>
        <w:tab/>
        <w:t>01/0</w:t>
      </w:r>
      <w:r w:rsidR="00B05453">
        <w:rPr>
          <w:rFonts w:ascii="Arial" w:hAnsi="Arial" w:cs="Arial"/>
          <w:b/>
          <w:bCs/>
          <w:sz w:val="20"/>
          <w:szCs w:val="20"/>
        </w:rPr>
        <w:t>4</w:t>
      </w:r>
      <w:r>
        <w:rPr>
          <w:rFonts w:ascii="Arial" w:hAnsi="Arial" w:cs="Arial"/>
          <w:b/>
          <w:bCs/>
          <w:sz w:val="20"/>
          <w:szCs w:val="20"/>
        </w:rPr>
        <w:t>/202</w:t>
      </w:r>
      <w:r w:rsidR="00880E41">
        <w:rPr>
          <w:rFonts w:ascii="Arial" w:hAnsi="Arial" w:cs="Arial"/>
          <w:b/>
          <w:bCs/>
          <w:sz w:val="20"/>
          <w:szCs w:val="20"/>
        </w:rPr>
        <w:t>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72748189" w14:textId="12F63846" w:rsidR="00385905" w:rsidRDefault="00385905">
      <w:pPr>
        <w:rPr>
          <w:rFonts w:ascii="Arial" w:hAnsi="Arial" w:cs="Arial"/>
          <w:b/>
          <w:bCs/>
          <w:sz w:val="20"/>
          <w:szCs w:val="20"/>
        </w:rPr>
      </w:pPr>
      <w:r>
        <w:rPr>
          <w:rFonts w:ascii="Arial" w:hAnsi="Arial" w:cs="Arial"/>
          <w:b/>
          <w:bCs/>
          <w:sz w:val="20"/>
          <w:szCs w:val="20"/>
        </w:rPr>
        <w:br w:type="page"/>
      </w:r>
    </w:p>
    <w:p w14:paraId="18579031" w14:textId="0D485908" w:rsidR="00754729" w:rsidRPr="0049371B" w:rsidRDefault="00D52656"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The Edlington Practice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r w:rsidRPr="0049371B">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C34585B" w14:textId="77777777" w:rsidR="00D52656" w:rsidRPr="0049371B" w:rsidRDefault="00D52656" w:rsidP="008B0056">
      <w:pPr>
        <w:rPr>
          <w:rFonts w:ascii="Arial" w:hAnsi="Arial" w:cs="Arial"/>
          <w:sz w:val="20"/>
          <w:szCs w:val="20"/>
        </w:rPr>
      </w:pP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4C54111E" w:rsidR="00E37206" w:rsidRPr="0049371B" w:rsidRDefault="00D52656" w:rsidP="00E37206">
      <w:pPr>
        <w:widowControl w:val="0"/>
        <w:spacing w:after="280"/>
        <w:rPr>
          <w:rFonts w:ascii="Arial" w:hAnsi="Arial" w:cs="Arial"/>
          <w:sz w:val="20"/>
          <w:szCs w:val="20"/>
        </w:rPr>
      </w:pPr>
      <w:r w:rsidRPr="00D52656">
        <w:rPr>
          <w:rFonts w:ascii="Arial" w:hAnsi="Arial" w:cs="Arial"/>
          <w:sz w:val="20"/>
          <w:szCs w:val="20"/>
        </w:rPr>
        <w:t>The Edlington Practice</w:t>
      </w:r>
      <w:r>
        <w:rPr>
          <w:rFonts w:ascii="Arial" w:hAnsi="Arial" w:cs="Arial"/>
          <w:sz w:val="20"/>
          <w:szCs w:val="20"/>
        </w:rPr>
        <w:t xml:space="preserv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491A39D2" w14:textId="77777777" w:rsidR="00D52656" w:rsidRPr="0049371B" w:rsidRDefault="00D52656" w:rsidP="00E37206">
      <w:pPr>
        <w:widowControl w:val="0"/>
        <w:rPr>
          <w:rFonts w:ascii="Arial" w:hAnsi="Arial" w:cs="Arial"/>
          <w:sz w:val="20"/>
          <w:szCs w:val="20"/>
        </w:rPr>
      </w:pP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5664C02D"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2A975452" w14:textId="77777777" w:rsidR="0050353A" w:rsidRPr="0049371B" w:rsidRDefault="0050353A" w:rsidP="0050353A">
      <w:pPr>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GP Connect System and Data Sharing</w:t>
      </w:r>
    </w:p>
    <w:p w14:paraId="0A8A9007" w14:textId="6BC2EEF6" w:rsidR="0050353A" w:rsidRPr="0049371B" w:rsidRDefault="00D52656" w:rsidP="0050353A">
      <w:pPr>
        <w:pStyle w:val="nhsd-t-body"/>
        <w:rPr>
          <w:rFonts w:ascii="Arial" w:hAnsi="Arial" w:cs="Arial"/>
          <w:color w:val="000000" w:themeColor="text1"/>
          <w:sz w:val="20"/>
          <w:szCs w:val="20"/>
        </w:rPr>
      </w:pPr>
      <w:r w:rsidRPr="00D52656">
        <w:rPr>
          <w:rFonts w:ascii="Arial" w:hAnsi="Arial" w:cs="Arial"/>
          <w:sz w:val="20"/>
          <w:szCs w:val="20"/>
        </w:rPr>
        <w:t>The Edlington Practice</w:t>
      </w:r>
      <w:r w:rsidRPr="0049371B">
        <w:rPr>
          <w:rFonts w:ascii="Arial" w:hAnsi="Arial" w:cs="Arial"/>
          <w:color w:val="000000" w:themeColor="text1"/>
          <w:sz w:val="20"/>
          <w:szCs w:val="20"/>
        </w:rPr>
        <w:t xml:space="preserve"> </w:t>
      </w:r>
      <w:r w:rsidR="0050353A" w:rsidRPr="0049371B">
        <w:rPr>
          <w:rFonts w:ascii="Arial" w:hAnsi="Arial" w:cs="Arial"/>
          <w:color w:val="000000" w:themeColor="text1"/>
          <w:sz w:val="20"/>
          <w:szCs w:val="20"/>
        </w:rPr>
        <w:t xml:space="preserve">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8"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76BA88DC" w14:textId="77777777" w:rsidR="00D52656" w:rsidRPr="0049371B" w:rsidRDefault="00D52656"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Pr="0049371B"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49371B"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30414DB0" w14:textId="77777777" w:rsidR="00D52656" w:rsidRDefault="00D52656" w:rsidP="00A24734">
      <w:pPr>
        <w:rPr>
          <w:rFonts w:ascii="Arial" w:hAnsi="Arial" w:cs="Arial"/>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9"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0"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1"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2"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4CAC3962" w14:textId="77777777" w:rsidR="00D52656" w:rsidRDefault="00D52656" w:rsidP="00646A1E">
      <w:pPr>
        <w:rPr>
          <w:rFonts w:ascii="Arial" w:hAnsi="Arial" w:cs="Arial"/>
          <w:sz w:val="20"/>
          <w:szCs w:val="20"/>
        </w:rPr>
      </w:pPr>
    </w:p>
    <w:p w14:paraId="1A62461D" w14:textId="77777777" w:rsidR="00D52656" w:rsidRPr="0049371B" w:rsidRDefault="00D52656" w:rsidP="00646A1E">
      <w:pPr>
        <w:rPr>
          <w:rFonts w:ascii="Arial" w:hAnsi="Arial" w:cs="Arial"/>
          <w:sz w:val="20"/>
          <w:szCs w:val="20"/>
        </w:rPr>
      </w:pP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lastRenderedPageBreak/>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4"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5"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lastRenderedPageBreak/>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16"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17"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8"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9"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0"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lastRenderedPageBreak/>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2"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3"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4"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5"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lastRenderedPageBreak/>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7736B2C0" w14:textId="77777777" w:rsidR="00D52656" w:rsidRDefault="00D52656" w:rsidP="004E2C36">
      <w:pPr>
        <w:pStyle w:val="Heading2"/>
        <w:rPr>
          <w:rFonts w:ascii="Arial" w:hAnsi="Arial" w:cs="Arial"/>
          <w:color w:val="231F20"/>
          <w:sz w:val="20"/>
          <w:szCs w:val="20"/>
        </w:rPr>
      </w:pPr>
    </w:p>
    <w:p w14:paraId="7400ABF1" w14:textId="77777777" w:rsidR="00D52656" w:rsidRDefault="00D52656" w:rsidP="004E2C36">
      <w:pPr>
        <w:pStyle w:val="Heading2"/>
        <w:rPr>
          <w:rFonts w:ascii="Arial" w:hAnsi="Arial" w:cs="Arial"/>
          <w:color w:val="231F20"/>
          <w:sz w:val="20"/>
          <w:szCs w:val="20"/>
        </w:rPr>
      </w:pPr>
    </w:p>
    <w:p w14:paraId="59FA44DA" w14:textId="087462D8"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26"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27"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28"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6CDB380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w:t>
      </w:r>
      <w:r w:rsidR="00D52656">
        <w:rPr>
          <w:rFonts w:ascii="Arial" w:hAnsi="Arial" w:cs="Arial"/>
          <w:sz w:val="20"/>
          <w:szCs w:val="20"/>
        </w:rPr>
        <w:t>r</w:t>
      </w:r>
      <w:r w:rsidRPr="0049371B">
        <w:rPr>
          <w:rFonts w:ascii="Arial" w:hAnsi="Arial" w:cs="Arial"/>
          <w:sz w:val="20"/>
          <w:szCs w:val="20"/>
        </w:rPr>
        <w:t>keting or insurance companies.</w:t>
      </w: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lastRenderedPageBreak/>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0"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31"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2"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lastRenderedPageBreak/>
        <w:t>The NHS Digital web pages also provide further information at</w:t>
      </w:r>
      <w:r w:rsidRPr="0049371B">
        <w:rPr>
          <w:rStyle w:val="apple-converted-space"/>
          <w:rFonts w:ascii="Arial" w:hAnsi="Arial" w:cs="Arial"/>
          <w:color w:val="3F525F"/>
          <w:sz w:val="20"/>
          <w:szCs w:val="20"/>
        </w:rPr>
        <w:t> </w:t>
      </w:r>
      <w:hyperlink r:id="rId33"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4"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5"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36"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7"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38"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39"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0"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lastRenderedPageBreak/>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1"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2"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3"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4"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5"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46"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w:t>
      </w:r>
      <w:r w:rsidRPr="0049371B">
        <w:rPr>
          <w:rFonts w:ascii="Arial" w:hAnsi="Arial" w:cs="Arial"/>
          <w:sz w:val="20"/>
          <w:szCs w:val="20"/>
        </w:rPr>
        <w:lastRenderedPageBreak/>
        <w:t>secure data access environment. For more information read about improved data access in </w:t>
      </w:r>
      <w:hyperlink r:id="rId47"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48"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49"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0"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1"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2"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3"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4"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lastRenderedPageBreak/>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issued;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012DDE6F" w14:textId="7501F7F6" w:rsidR="0020197A" w:rsidRPr="0049371B" w:rsidRDefault="00792E61" w:rsidP="0020197A">
      <w:pPr>
        <w:widowControl w:val="0"/>
        <w:rPr>
          <w:rFonts w:ascii="Arial" w:hAnsi="Arial" w:cs="Arial"/>
          <w:sz w:val="20"/>
          <w:szCs w:val="20"/>
        </w:rPr>
      </w:pPr>
      <w:hyperlink r:id="rId55" w:history="1">
        <w:r w:rsidRPr="007765D8">
          <w:rPr>
            <w:rStyle w:val="Hyperlink"/>
          </w:rPr>
          <w:t>https://transform.england.nhs.uk/media/documents/NHSX_Records_Management_CoP_V7.pdf</w:t>
        </w:r>
      </w:hyperlink>
      <w:r>
        <w:t xml:space="preserve"> </w:t>
      </w:r>
    </w:p>
    <w:p w14:paraId="344E6509" w14:textId="77777777" w:rsidR="00F80C43" w:rsidRPr="0049371B" w:rsidRDefault="00F80C43"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1DDBE134" w14:textId="77777777" w:rsidR="00D52656" w:rsidRPr="0049371B" w:rsidRDefault="00D52656" w:rsidP="003C5E88">
      <w:pPr>
        <w:rPr>
          <w:rFonts w:ascii="Arial" w:hAnsi="Arial" w:cs="Arial"/>
          <w:sz w:val="20"/>
          <w:szCs w:val="20"/>
        </w:rPr>
      </w:pP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2F9471AC"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sidR="00D52656">
        <w:rPr>
          <w:rFonts w:ascii="Arial" w:hAnsi="Arial" w:cs="Arial"/>
          <w:sz w:val="20"/>
          <w:szCs w:val="20"/>
          <w:shd w:val="clear" w:color="auto" w:fill="FFFFFF"/>
        </w:rPr>
        <w:t>Doncaster South Primary Care Network.</w:t>
      </w:r>
      <w:r w:rsidRPr="0049371B">
        <w:rPr>
          <w:rFonts w:ascii="Arial" w:hAnsi="Arial" w:cs="Arial"/>
          <w:sz w:val="20"/>
          <w:szCs w:val="20"/>
          <w:shd w:val="clear" w:color="auto" w:fill="FFFFFF"/>
        </w:rPr>
        <w:t xml:space="preserve">  Other members of the network are:</w:t>
      </w:r>
    </w:p>
    <w:p w14:paraId="189B958D" w14:textId="27936AFF" w:rsidR="00F52777" w:rsidRDefault="00F52777" w:rsidP="00F52777">
      <w:pPr>
        <w:rPr>
          <w:rFonts w:ascii="Arial" w:hAnsi="Arial" w:cs="Arial"/>
          <w:sz w:val="20"/>
          <w:szCs w:val="20"/>
          <w:shd w:val="clear" w:color="auto" w:fill="FFFFFF"/>
        </w:rPr>
      </w:pPr>
    </w:p>
    <w:p w14:paraId="0C8E00B5" w14:textId="30031041" w:rsidR="00D52656" w:rsidRDefault="00D52656" w:rsidP="00F52777">
      <w:pPr>
        <w:rPr>
          <w:rFonts w:ascii="Arial" w:hAnsi="Arial" w:cs="Arial"/>
          <w:sz w:val="20"/>
          <w:szCs w:val="20"/>
          <w:shd w:val="clear" w:color="auto" w:fill="FFFFFF"/>
        </w:rPr>
      </w:pPr>
      <w:r>
        <w:rPr>
          <w:rFonts w:ascii="Arial" w:hAnsi="Arial" w:cs="Arial"/>
          <w:sz w:val="20"/>
          <w:szCs w:val="20"/>
          <w:shd w:val="clear" w:color="auto" w:fill="FFFFFF"/>
        </w:rPr>
        <w:t>Barnburgh Surgery</w:t>
      </w:r>
    </w:p>
    <w:p w14:paraId="2FEC5639" w14:textId="28A5273D" w:rsidR="00D52656" w:rsidRDefault="00D52656" w:rsidP="00F52777">
      <w:pPr>
        <w:rPr>
          <w:rFonts w:ascii="Arial" w:hAnsi="Arial" w:cs="Arial"/>
          <w:sz w:val="20"/>
          <w:szCs w:val="20"/>
          <w:shd w:val="clear" w:color="auto" w:fill="FFFFFF"/>
        </w:rPr>
      </w:pPr>
      <w:r>
        <w:rPr>
          <w:rFonts w:ascii="Arial" w:hAnsi="Arial" w:cs="Arial"/>
          <w:sz w:val="20"/>
          <w:szCs w:val="20"/>
          <w:shd w:val="clear" w:color="auto" w:fill="FFFFFF"/>
        </w:rPr>
        <w:t>Conisbrough Group Practice</w:t>
      </w:r>
    </w:p>
    <w:p w14:paraId="24298E36" w14:textId="1DDB122E" w:rsidR="00D52656" w:rsidRDefault="00D52656" w:rsidP="00F52777">
      <w:pPr>
        <w:rPr>
          <w:rFonts w:ascii="Arial" w:hAnsi="Arial" w:cs="Arial"/>
          <w:sz w:val="20"/>
          <w:szCs w:val="20"/>
          <w:shd w:val="clear" w:color="auto" w:fill="FFFFFF"/>
        </w:rPr>
      </w:pPr>
      <w:r>
        <w:rPr>
          <w:rFonts w:ascii="Arial" w:hAnsi="Arial" w:cs="Arial"/>
          <w:sz w:val="20"/>
          <w:szCs w:val="20"/>
          <w:shd w:val="clear" w:color="auto" w:fill="FFFFFF"/>
        </w:rPr>
        <w:t>Mexborough Health Centre</w:t>
      </w:r>
    </w:p>
    <w:p w14:paraId="751BBC76" w14:textId="0AE2438A" w:rsidR="00D52656" w:rsidRDefault="00D52656" w:rsidP="00F52777">
      <w:pPr>
        <w:rPr>
          <w:rFonts w:ascii="Arial" w:hAnsi="Arial" w:cs="Arial"/>
          <w:sz w:val="20"/>
          <w:szCs w:val="20"/>
          <w:shd w:val="clear" w:color="auto" w:fill="FFFFFF"/>
        </w:rPr>
      </w:pPr>
      <w:r>
        <w:rPr>
          <w:rFonts w:ascii="Arial" w:hAnsi="Arial" w:cs="Arial"/>
          <w:sz w:val="20"/>
          <w:szCs w:val="20"/>
          <w:shd w:val="clear" w:color="auto" w:fill="FFFFFF"/>
        </w:rPr>
        <w:t>The Mayflower Medical Practice</w:t>
      </w:r>
    </w:p>
    <w:p w14:paraId="7F6BE2F8" w14:textId="0B48533E" w:rsidR="00D52656" w:rsidRDefault="00D52656" w:rsidP="00F52777">
      <w:pPr>
        <w:rPr>
          <w:rFonts w:ascii="Arial" w:hAnsi="Arial" w:cs="Arial"/>
          <w:sz w:val="20"/>
          <w:szCs w:val="20"/>
          <w:shd w:val="clear" w:color="auto" w:fill="FFFFFF"/>
        </w:rPr>
      </w:pPr>
      <w:r>
        <w:rPr>
          <w:rFonts w:ascii="Arial" w:hAnsi="Arial" w:cs="Arial"/>
          <w:sz w:val="20"/>
          <w:szCs w:val="20"/>
          <w:shd w:val="clear" w:color="auto" w:fill="FFFFFF"/>
        </w:rPr>
        <w:t>The New Surgery, Mexborough</w:t>
      </w:r>
    </w:p>
    <w:p w14:paraId="64D0F708" w14:textId="722391E7" w:rsidR="00D52656" w:rsidRDefault="00D52656" w:rsidP="00F52777">
      <w:pPr>
        <w:rPr>
          <w:rFonts w:ascii="Arial" w:hAnsi="Arial" w:cs="Arial"/>
          <w:sz w:val="20"/>
          <w:szCs w:val="20"/>
          <w:shd w:val="clear" w:color="auto" w:fill="FFFFFF"/>
        </w:rPr>
      </w:pPr>
      <w:r>
        <w:rPr>
          <w:rFonts w:ascii="Arial" w:hAnsi="Arial" w:cs="Arial"/>
          <w:sz w:val="20"/>
          <w:szCs w:val="20"/>
          <w:shd w:val="clear" w:color="auto" w:fill="FFFFFF"/>
        </w:rPr>
        <w:t>The Rossington Practice</w:t>
      </w:r>
    </w:p>
    <w:p w14:paraId="1C4A3052" w14:textId="0A2481C2" w:rsidR="00D52656" w:rsidRDefault="00D52656" w:rsidP="00F52777">
      <w:pPr>
        <w:rPr>
          <w:rFonts w:ascii="Arial" w:hAnsi="Arial" w:cs="Arial"/>
          <w:sz w:val="20"/>
          <w:szCs w:val="20"/>
          <w:shd w:val="clear" w:color="auto" w:fill="FFFFFF"/>
        </w:rPr>
      </w:pPr>
      <w:r>
        <w:rPr>
          <w:rFonts w:ascii="Arial" w:hAnsi="Arial" w:cs="Arial"/>
          <w:sz w:val="20"/>
          <w:szCs w:val="20"/>
          <w:shd w:val="clear" w:color="auto" w:fill="FFFFFF"/>
        </w:rPr>
        <w:t>The Tickhill and Colliery Medical Practice</w:t>
      </w:r>
    </w:p>
    <w:p w14:paraId="56769152" w14:textId="05262239" w:rsidR="00D52656" w:rsidRDefault="00D52656" w:rsidP="00F52777">
      <w:pPr>
        <w:rPr>
          <w:rFonts w:ascii="Arial" w:hAnsi="Arial" w:cs="Arial"/>
          <w:sz w:val="20"/>
          <w:szCs w:val="20"/>
          <w:shd w:val="clear" w:color="auto" w:fill="FFFFFF"/>
        </w:rPr>
      </w:pPr>
      <w:r>
        <w:rPr>
          <w:rFonts w:ascii="Arial" w:hAnsi="Arial" w:cs="Arial"/>
          <w:sz w:val="20"/>
          <w:szCs w:val="20"/>
          <w:shd w:val="clear" w:color="auto" w:fill="FFFFFF"/>
        </w:rPr>
        <w:t>West End Clinic</w:t>
      </w:r>
    </w:p>
    <w:p w14:paraId="126BDAF9" w14:textId="77777777" w:rsidR="00D52656" w:rsidRDefault="00D52656" w:rsidP="00F52777">
      <w:pPr>
        <w:rPr>
          <w:rFonts w:ascii="Arial" w:hAnsi="Arial" w:cs="Arial"/>
          <w:sz w:val="20"/>
          <w:szCs w:val="20"/>
          <w:shd w:val="clear" w:color="auto" w:fill="FFFFFF"/>
        </w:rPr>
      </w:pPr>
    </w:p>
    <w:p w14:paraId="257F22B9" w14:textId="77777777" w:rsidR="00D52656" w:rsidRPr="0049371B" w:rsidRDefault="00D52656" w:rsidP="00F52777">
      <w:pPr>
        <w:rPr>
          <w:rFonts w:ascii="Arial" w:hAnsi="Arial" w:cs="Arial"/>
          <w:sz w:val="20"/>
          <w:szCs w:val="20"/>
          <w:shd w:val="clear" w:color="auto" w:fill="FFFFFF"/>
        </w:rPr>
      </w:pP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lastRenderedPageBreak/>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56"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57"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8"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0A026B6A" w14:textId="77777777" w:rsidR="00C105DA" w:rsidRPr="0049371B" w:rsidRDefault="00C105DA" w:rsidP="00A21BF4">
      <w:pPr>
        <w:rPr>
          <w:rFonts w:ascii="Arial" w:hAnsi="Arial" w:cs="Arial"/>
          <w:sz w:val="20"/>
          <w:szCs w:val="20"/>
          <w:shd w:val="clear" w:color="auto" w:fill="FFFFFF"/>
        </w:rPr>
      </w:pP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59"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0"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3D9BBB55"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C105DA">
        <w:rPr>
          <w:rFonts w:ascii="Arial" w:hAnsi="Arial" w:cs="Arial"/>
          <w:color w:val="231F20"/>
          <w:sz w:val="20"/>
          <w:szCs w:val="20"/>
        </w:rPr>
        <w:t>18</w:t>
      </w:r>
      <w:r w:rsidR="00C105DA" w:rsidRPr="00C105DA">
        <w:rPr>
          <w:rFonts w:ascii="Arial" w:hAnsi="Arial" w:cs="Arial"/>
          <w:color w:val="231F20"/>
          <w:sz w:val="20"/>
          <w:szCs w:val="20"/>
          <w:vertAlign w:val="superscript"/>
        </w:rPr>
        <w:t>th</w:t>
      </w:r>
      <w:r w:rsidR="00C105DA">
        <w:rPr>
          <w:rFonts w:ascii="Arial" w:hAnsi="Arial" w:cs="Arial"/>
          <w:color w:val="231F20"/>
          <w:sz w:val="20"/>
          <w:szCs w:val="20"/>
        </w:rPr>
        <w:t xml:space="preserve"> October 2023</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D857016" w14:textId="77777777" w:rsidR="00C105DA" w:rsidRPr="0049371B" w:rsidRDefault="00C105DA" w:rsidP="00A24734">
      <w:pPr>
        <w:rPr>
          <w:rFonts w:ascii="Arial" w:hAnsi="Arial" w:cs="Arial"/>
          <w:sz w:val="20"/>
          <w:szCs w:val="20"/>
        </w:rPr>
      </w:pP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3DA29D5" w:rsidR="00A24734" w:rsidRPr="0049371B" w:rsidRDefault="00A24734" w:rsidP="00A24734">
      <w:pPr>
        <w:rPr>
          <w:rFonts w:ascii="Arial" w:hAnsi="Arial" w:cs="Arial"/>
          <w:sz w:val="20"/>
          <w:szCs w:val="20"/>
        </w:rPr>
      </w:pPr>
      <w:r w:rsidRPr="0049371B">
        <w:rPr>
          <w:rFonts w:ascii="Arial" w:hAnsi="Arial" w:cs="Arial"/>
          <w:sz w:val="20"/>
          <w:szCs w:val="20"/>
        </w:rPr>
        <w:t xml:space="preserve">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w:t>
      </w:r>
      <w:r w:rsidR="00C105DA">
        <w:rPr>
          <w:rFonts w:ascii="Arial" w:hAnsi="Arial" w:cs="Arial"/>
          <w:sz w:val="20"/>
          <w:szCs w:val="20"/>
        </w:rPr>
        <w:t>Tenant Manager of Community Health Partnerships, the managers of the Martinwells Centre</w:t>
      </w:r>
      <w:r w:rsidRPr="0049371B">
        <w:rPr>
          <w:rFonts w:ascii="Arial" w:hAnsi="Arial" w:cs="Arial"/>
          <w:sz w:val="20"/>
          <w:szCs w:val="20"/>
        </w:rPr>
        <w:t>.</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EADC25C" w14:textId="18BD729F"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2F4104D6"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C105DA" w:rsidRPr="00D52656">
        <w:rPr>
          <w:rFonts w:ascii="Arial" w:hAnsi="Arial" w:cs="Arial"/>
          <w:sz w:val="20"/>
          <w:szCs w:val="20"/>
        </w:rPr>
        <w:t>The Edlington Practice</w:t>
      </w:r>
      <w:r w:rsidRPr="0049371B">
        <w:rPr>
          <w:rFonts w:ascii="Arial" w:hAnsi="Arial" w:cs="Arial"/>
          <w:sz w:val="20"/>
          <w:szCs w:val="20"/>
        </w:rPr>
        <w:t xml:space="preserve">  we are now obliged to inform</w:t>
      </w:r>
      <w:r w:rsidR="00C105DA">
        <w:rPr>
          <w:rFonts w:ascii="Arial" w:hAnsi="Arial" w:cs="Arial"/>
          <w:sz w:val="20"/>
          <w:szCs w:val="20"/>
        </w:rPr>
        <w:t xml:space="preserve"> Doncaster and Bassetlaw Teaching Hopsital</w:t>
      </w:r>
      <w:r w:rsidRPr="0049371B">
        <w:rPr>
          <w:rFonts w:ascii="Arial" w:hAnsi="Arial" w:cs="Arial"/>
          <w:sz w:val="20"/>
          <w:szCs w:val="20"/>
        </w:rPr>
        <w:t xml:space="preserve">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61"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2"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681D" w14:textId="77777777" w:rsidR="0082285C" w:rsidRDefault="0082285C" w:rsidP="00F51C46">
      <w:r>
        <w:separator/>
      </w:r>
    </w:p>
  </w:endnote>
  <w:endnote w:type="continuationSeparator" w:id="0">
    <w:p w14:paraId="1BC2BCEC" w14:textId="77777777" w:rsidR="0082285C" w:rsidRDefault="0082285C"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73A8" w14:textId="77777777" w:rsidR="0082285C" w:rsidRDefault="0082285C" w:rsidP="00F51C46">
      <w:r>
        <w:separator/>
      </w:r>
    </w:p>
  </w:footnote>
  <w:footnote w:type="continuationSeparator" w:id="0">
    <w:p w14:paraId="2B9CE985" w14:textId="77777777" w:rsidR="0082285C" w:rsidRDefault="0082285C"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27"/>
  </w:num>
  <w:num w:numId="2" w16cid:durableId="693119780">
    <w:abstractNumId w:val="32"/>
  </w:num>
  <w:num w:numId="3" w16cid:durableId="526986339">
    <w:abstractNumId w:val="23"/>
  </w:num>
  <w:num w:numId="4" w16cid:durableId="1082415276">
    <w:abstractNumId w:val="15"/>
  </w:num>
  <w:num w:numId="5" w16cid:durableId="1591085642">
    <w:abstractNumId w:val="1"/>
  </w:num>
  <w:num w:numId="6" w16cid:durableId="480931067">
    <w:abstractNumId w:val="35"/>
  </w:num>
  <w:num w:numId="7" w16cid:durableId="1768648925">
    <w:abstractNumId w:val="3"/>
  </w:num>
  <w:num w:numId="8" w16cid:durableId="1024019690">
    <w:abstractNumId w:val="2"/>
  </w:num>
  <w:num w:numId="9" w16cid:durableId="1317879001">
    <w:abstractNumId w:val="20"/>
  </w:num>
  <w:num w:numId="10" w16cid:durableId="1525903601">
    <w:abstractNumId w:val="0"/>
  </w:num>
  <w:num w:numId="11" w16cid:durableId="365453380">
    <w:abstractNumId w:val="16"/>
  </w:num>
  <w:num w:numId="12" w16cid:durableId="2087023021">
    <w:abstractNumId w:val="30"/>
  </w:num>
  <w:num w:numId="13" w16cid:durableId="1993170551">
    <w:abstractNumId w:val="11"/>
  </w:num>
  <w:num w:numId="14" w16cid:durableId="949779821">
    <w:abstractNumId w:val="38"/>
  </w:num>
  <w:num w:numId="15" w16cid:durableId="1386181383">
    <w:abstractNumId w:val="22"/>
  </w:num>
  <w:num w:numId="16" w16cid:durableId="1078013442">
    <w:abstractNumId w:val="29"/>
  </w:num>
  <w:num w:numId="17" w16cid:durableId="1133330965">
    <w:abstractNumId w:val="19"/>
  </w:num>
  <w:num w:numId="18" w16cid:durableId="1605921569">
    <w:abstractNumId w:val="39"/>
  </w:num>
  <w:num w:numId="19" w16cid:durableId="1688016319">
    <w:abstractNumId w:val="28"/>
  </w:num>
  <w:num w:numId="20" w16cid:durableId="291786995">
    <w:abstractNumId w:val="13"/>
  </w:num>
  <w:num w:numId="21" w16cid:durableId="2115393271">
    <w:abstractNumId w:val="8"/>
  </w:num>
  <w:num w:numId="22" w16cid:durableId="364988891">
    <w:abstractNumId w:val="24"/>
  </w:num>
  <w:num w:numId="23" w16cid:durableId="719599357">
    <w:abstractNumId w:val="21"/>
  </w:num>
  <w:num w:numId="24" w16cid:durableId="854461276">
    <w:abstractNumId w:val="10"/>
  </w:num>
  <w:num w:numId="25" w16cid:durableId="888148783">
    <w:abstractNumId w:val="25"/>
  </w:num>
  <w:num w:numId="26" w16cid:durableId="30230336">
    <w:abstractNumId w:val="14"/>
  </w:num>
  <w:num w:numId="27" w16cid:durableId="97876820">
    <w:abstractNumId w:val="33"/>
  </w:num>
  <w:num w:numId="28" w16cid:durableId="1560822169">
    <w:abstractNumId w:val="7"/>
  </w:num>
  <w:num w:numId="29" w16cid:durableId="893394988">
    <w:abstractNumId w:val="4"/>
  </w:num>
  <w:num w:numId="30" w16cid:durableId="1967470074">
    <w:abstractNumId w:val="31"/>
  </w:num>
  <w:num w:numId="31" w16cid:durableId="2143190756">
    <w:abstractNumId w:val="36"/>
  </w:num>
  <w:num w:numId="32" w16cid:durableId="467017164">
    <w:abstractNumId w:val="5"/>
  </w:num>
  <w:num w:numId="33" w16cid:durableId="228346676">
    <w:abstractNumId w:val="9"/>
  </w:num>
  <w:num w:numId="34" w16cid:durableId="1349798074">
    <w:abstractNumId w:val="17"/>
  </w:num>
  <w:num w:numId="35" w16cid:durableId="1204706260">
    <w:abstractNumId w:val="26"/>
  </w:num>
  <w:num w:numId="36" w16cid:durableId="193421582">
    <w:abstractNumId w:val="6"/>
  </w:num>
  <w:num w:numId="37" w16cid:durableId="296226328">
    <w:abstractNumId w:val="12"/>
  </w:num>
  <w:num w:numId="38" w16cid:durableId="1083448614">
    <w:abstractNumId w:val="34"/>
  </w:num>
  <w:num w:numId="39" w16cid:durableId="2084176729">
    <w:abstractNumId w:val="37"/>
  </w:num>
  <w:num w:numId="40" w16cid:durableId="303656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05D28"/>
    <w:rsid w:val="00010370"/>
    <w:rsid w:val="000104B3"/>
    <w:rsid w:val="00011002"/>
    <w:rsid w:val="00015C4B"/>
    <w:rsid w:val="000177AB"/>
    <w:rsid w:val="00017F7C"/>
    <w:rsid w:val="000319F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C7F1B"/>
    <w:rsid w:val="007E30BE"/>
    <w:rsid w:val="008021DF"/>
    <w:rsid w:val="008111AE"/>
    <w:rsid w:val="0082285C"/>
    <w:rsid w:val="0083430E"/>
    <w:rsid w:val="0083730D"/>
    <w:rsid w:val="00840F87"/>
    <w:rsid w:val="008707FB"/>
    <w:rsid w:val="00877E55"/>
    <w:rsid w:val="00880E41"/>
    <w:rsid w:val="008A351A"/>
    <w:rsid w:val="008A3670"/>
    <w:rsid w:val="008B0056"/>
    <w:rsid w:val="008B2E14"/>
    <w:rsid w:val="008B5BEE"/>
    <w:rsid w:val="008D1465"/>
    <w:rsid w:val="008D3E7A"/>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05453"/>
    <w:rsid w:val="00B26C14"/>
    <w:rsid w:val="00B26E17"/>
    <w:rsid w:val="00B42BD0"/>
    <w:rsid w:val="00B47C5F"/>
    <w:rsid w:val="00B63C3B"/>
    <w:rsid w:val="00B92B1C"/>
    <w:rsid w:val="00B94788"/>
    <w:rsid w:val="00BA057D"/>
    <w:rsid w:val="00BF4D87"/>
    <w:rsid w:val="00C105DA"/>
    <w:rsid w:val="00C13A3D"/>
    <w:rsid w:val="00C16543"/>
    <w:rsid w:val="00C16FFD"/>
    <w:rsid w:val="00C47616"/>
    <w:rsid w:val="00C71581"/>
    <w:rsid w:val="00C87466"/>
    <w:rsid w:val="00CA5A4E"/>
    <w:rsid w:val="00CD665F"/>
    <w:rsid w:val="00CF2A42"/>
    <w:rsid w:val="00CF37C0"/>
    <w:rsid w:val="00D00D64"/>
    <w:rsid w:val="00D12477"/>
    <w:rsid w:val="00D20053"/>
    <w:rsid w:val="00D413C3"/>
    <w:rsid w:val="00D52656"/>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cr-patient-consent-preference-form" TargetMode="External"/><Relationship Id="rId18" Type="http://schemas.openxmlformats.org/officeDocument/2006/relationships/hyperlink" Target="https://digital.nhs.uk/data-and-information/publications/statistical/national-obesity-audit" TargetMode="External"/><Relationship Id="rId26" Type="http://schemas.openxmlformats.org/officeDocument/2006/relationships/hyperlink" Target="http://www.bma.org.uk/" TargetMode="External"/><Relationship Id="rId3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1" Type="http://schemas.openxmlformats.org/officeDocument/2006/relationships/hyperlink" Target="https://digital.nhs.uk/services/data-access-request-service-dars" TargetMode="External"/><Relationship Id="rId3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2" Type="http://schemas.openxmlformats.org/officeDocument/2006/relationships/hyperlink" Target="https://digital.nhs.uk/data" TargetMode="External"/><Relationship Id="rId47" Type="http://schemas.openxmlformats.org/officeDocument/2006/relationships/hyperlink" Target="https://digital.nhs.uk/data-and-information/data-insights-and-statistics/improving-our-data-processing-services" TargetMode="External"/><Relationship Id="rId50" Type="http://schemas.openxmlformats.org/officeDocument/2006/relationships/hyperlink" Target="https://www.hra.nhs.uk/about-us/committees-and-services/confidentiality-advisory-group/" TargetMode="External"/><Relationship Id="rId55" Type="http://schemas.openxmlformats.org/officeDocument/2006/relationships/hyperlink" Target="https://transform.england.nhs.uk/media/documents/NHSX_Records_Management_CoP_V7.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ice.org.uk/guidance/cg189" TargetMode="External"/><Relationship Id="rId29" Type="http://schemas.openxmlformats.org/officeDocument/2006/relationships/image" Target="media/image1.png"/><Relationship Id="rId11"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services/data-access-request-service-dars/data-sharing-audits" TargetMode="External"/><Relationship Id="rId32" Type="http://schemas.openxmlformats.org/officeDocument/2006/relationships/hyperlink" Target="mailto:enquiries@nhsdigital.nhs.uk" TargetMode="External"/><Relationship Id="rId37" Type="http://schemas.openxmlformats.org/officeDocument/2006/relationships/hyperlink" Target="https://www.nhs.uk/your-nhs-data-matters/" TargetMode="External"/><Relationship Id="rId4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5" Type="http://schemas.openxmlformats.org/officeDocument/2006/relationships/hyperlink" Target="https://digital.nhs.uk/services/data-access-request-service-dars" TargetMode="External"/><Relationship Id="rId53" Type="http://schemas.openxmlformats.org/officeDocument/2006/relationships/hyperlink" Target="https://www.hra.nhs.uk/information-about-patients/%20" TargetMode="External"/><Relationship Id="rId58" Type="http://schemas.openxmlformats.org/officeDocument/2006/relationships/hyperlink" Target="http://www.optum.co.uk" TargetMode="External"/><Relationship Id="rId5" Type="http://schemas.openxmlformats.org/officeDocument/2006/relationships/webSettings" Target="webSettings.xml"/><Relationship Id="rId61" Type="http://schemas.openxmlformats.org/officeDocument/2006/relationships/hyperlink" Target="https://ico.org.uk/" TargetMode="External"/><Relationship Id="rId19" Type="http://schemas.openxmlformats.org/officeDocument/2006/relationships/hyperlink" Target="https://digital.nhs.uk/about-nhs-digital/corporate-information-and-documents/directions-and-data-provision-notices/data-provision-notices-dpns/cardiovascular-disease-prevention-audit" TargetMode="External"/><Relationship Id="rId14"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2" Type="http://schemas.openxmlformats.org/officeDocument/2006/relationships/hyperlink" Target="https://digital.nhs.uk/binaries/content/assets/website-assets/services/dars/data-sharing-framework-contract" TargetMode="External"/><Relationship Id="rId27" Type="http://schemas.openxmlformats.org/officeDocument/2006/relationships/hyperlink" Target="http://www.rcgp.org.uk/" TargetMode="External"/><Relationship Id="rId30" Type="http://schemas.openxmlformats.org/officeDocument/2006/relationships/hyperlink" Target="https://creativecommons.org/licenses/by/2.0/"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dashboards"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www.necsu.nhs.uk" TargetMode="External"/><Relationship Id="rId64" Type="http://schemas.openxmlformats.org/officeDocument/2006/relationships/theme" Target="theme/theme1.xm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digital.nhs.uk/services/data-access-request-service-dars/register-of-approved-data-releases" TargetMode="External"/><Relationship Id="rId3" Type="http://schemas.openxmlformats.org/officeDocument/2006/relationships/styles" Target="style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hyperlink" Target="https://digital.nhs.uk/binaries/content/assets/website-assets/data-and-information/clinical-audits-and-registries/national-obesity-audit/noa_dataset_specification_v2.0.xlsx" TargetMode="External"/><Relationship Id="rId25" Type="http://schemas.openxmlformats.org/officeDocument/2006/relationships/hyperlink" Target="https://digital.nhs.uk/services/data-access-request-service-dars/data-uses-register" TargetMode="External"/><Relationship Id="rId33" Type="http://schemas.openxmlformats.org/officeDocument/2006/relationships/hyperlink" Target="https://digital.nhs.uk/data-and-information/data-collections-and-data-sets/data-collections/general-practice-data-for-planning-and-research"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about-nhs-digital/corporate-information-and-documents/independent-group-advising-on-the-release-of-data" TargetMode="External"/><Relationship Id="rId59" Type="http://schemas.openxmlformats.org/officeDocument/2006/relationships/hyperlink" Target="http://www.nhs.uk/nhs-app/" TargetMode="External"/><Relationship Id="rId20" Type="http://schemas.openxmlformats.org/officeDocument/2006/relationships/hyperlink" Target="https://digital.nhs.uk/about-nhs-digital/corporate-information-and-documents/directions-and-data-provision-notices/secretary-of-state-directions/national-obesity-audit-directions-2023" TargetMode="External"/><Relationship Id="rId41" Type="http://schemas.openxmlformats.org/officeDocument/2006/relationships/hyperlink" Target="https://digital.nhs.uk/about-nhs-digital/corporate-information-and-documents/independent-group-advising-on-the-release-of-data" TargetMode="External"/><Relationship Id="rId54" Type="http://schemas.openxmlformats.org/officeDocument/2006/relationships/hyperlink" Target="https://understandingpatientdata.org.uk/what-you-need-know" TargetMode="External"/><Relationship Id="rId62" Type="http://schemas.openxmlformats.org/officeDocument/2006/relationships/hyperlink" Target="mailto:Couldrey@m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prd.com/transparency-information" TargetMode="External"/><Relationship Id="rId23" Type="http://schemas.openxmlformats.org/officeDocument/2006/relationships/hyperlink" Target="https://digital.nhs.uk/binaries/content/assets/website-assets/services/dars/blank-dsa.pdf" TargetMode="External"/><Relationship Id="rId28" Type="http://schemas.openxmlformats.org/officeDocument/2006/relationships/hyperlink" Target="http://www.gov.uk/government/organisations/national-data-guardian" TargetMode="External"/><Relationship Id="rId36" Type="http://schemas.openxmlformats.org/officeDocument/2006/relationships/hyperlink" Target="https://nhs-prod.global.ssl.fastly.net/binaries/content/assets/website-assets/data-and-information/data-collections/general-practice-data-for-planning-and-research/type-1-opt-out-form.docx" TargetMode="External"/><Relationship Id="rId49" Type="http://schemas.openxmlformats.org/officeDocument/2006/relationships/hyperlink" Target="https://www.hra.nhs.uk/" TargetMode="External"/><Relationship Id="rId57" Type="http://schemas.openxmlformats.org/officeDocument/2006/relationships/hyperlink" Target="https://www.optum.co.uk"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www.nhs.uk/your-nhs-data-matters" TargetMode="External"/><Relationship Id="rId60" Type="http://schemas.openxmlformats.org/officeDocument/2006/relationships/hyperlink" Target="http://access.login.nhs.uk/enter-email"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12375</Words>
  <Characters>70542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DEAN, Angela (EDLINGTON HEALTH CENTRE PRACTICE)</cp:lastModifiedBy>
  <cp:revision>3</cp:revision>
  <cp:lastPrinted>2019-06-13T09:46:00Z</cp:lastPrinted>
  <dcterms:created xsi:type="dcterms:W3CDTF">2025-06-25T09:18:00Z</dcterms:created>
  <dcterms:modified xsi:type="dcterms:W3CDTF">2025-06-25T09:20:00Z</dcterms:modified>
</cp:coreProperties>
</file>